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754DC" w14:textId="77777777" w:rsidR="00567F6D" w:rsidRDefault="00000000">
      <w:pPr>
        <w:widowControl w:val="0"/>
        <w:spacing w:after="0"/>
        <w:jc w:val="both"/>
        <w:outlineLvl w:val="2"/>
        <w:rPr>
          <w:rFonts w:ascii="Times New Roman" w:hAnsi="Times New Roman" w:cs="Times New Roman"/>
          <w:b/>
          <w:bCs/>
        </w:rPr>
      </w:pPr>
      <w:r>
        <w:rPr>
          <w:rFonts w:ascii="Times New Roman" w:hAnsi="Times New Roman" w:cs="Times New Roman"/>
          <w:b/>
          <w:bCs/>
          <w:noProof/>
        </w:rPr>
        <w:drawing>
          <wp:anchor distT="0" distB="0" distL="0" distR="0" simplePos="0" relativeHeight="251658240" behindDoc="0" locked="0" layoutInCell="0" allowOverlap="1" wp14:anchorId="05D64A24" wp14:editId="08E6F1CA">
            <wp:simplePos x="0" y="0"/>
            <wp:positionH relativeFrom="margin">
              <wp:posOffset>0</wp:posOffset>
            </wp:positionH>
            <wp:positionV relativeFrom="paragraph">
              <wp:posOffset>-591185</wp:posOffset>
            </wp:positionV>
            <wp:extent cx="1857375" cy="581025"/>
            <wp:effectExtent l="0" t="0" r="0" b="0"/>
            <wp:wrapNone/>
            <wp:docPr id="1" name="Рисунок 2" descr="cid:image001.png@01D51F9F.BAFAF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1.png@01D51F9F.BAFAFE10"/>
                    <pic:cNvPicPr>
                      <a:picLocks noChangeAspect="1" noChangeArrowheads="1"/>
                    </pic:cNvPicPr>
                  </pic:nvPicPr>
                  <pic:blipFill>
                    <a:blip r:embed="rId6"/>
                    <a:stretch>
                      <a:fillRect/>
                    </a:stretch>
                  </pic:blipFill>
                  <pic:spPr bwMode="auto">
                    <a:xfrm>
                      <a:off x="0" y="0"/>
                      <a:ext cx="1857375" cy="581025"/>
                    </a:xfrm>
                    <a:prstGeom prst="rect">
                      <a:avLst/>
                    </a:prstGeom>
                    <a:noFill/>
                  </pic:spPr>
                </pic:pic>
              </a:graphicData>
            </a:graphic>
          </wp:anchor>
        </w:drawing>
      </w:r>
    </w:p>
    <w:p w14:paraId="3D5F6D37" w14:textId="77777777" w:rsidR="00567F6D" w:rsidRDefault="00567F6D">
      <w:pPr>
        <w:spacing w:after="0"/>
        <w:jc w:val="center"/>
        <w:rPr>
          <w:rFonts w:ascii="Times New Roman" w:hAnsi="Times New Roman" w:cs="Times New Roman"/>
          <w:b/>
          <w:color w:val="0070C0"/>
          <w:sz w:val="26"/>
          <w:szCs w:val="26"/>
        </w:rPr>
      </w:pPr>
    </w:p>
    <w:p w14:paraId="10EDA309" w14:textId="77777777" w:rsidR="00567F6D" w:rsidRPr="006B0536" w:rsidRDefault="00000000">
      <w:pPr>
        <w:spacing w:after="0"/>
        <w:jc w:val="center"/>
        <w:rPr>
          <w:rFonts w:ascii="Times New Roman" w:hAnsi="Times New Roman" w:cs="Times New Roman"/>
          <w:b/>
          <w:color w:val="0070C0"/>
          <w:sz w:val="26"/>
          <w:szCs w:val="26"/>
          <w:lang w:val="en-US"/>
        </w:rPr>
      </w:pPr>
      <w:r>
        <w:rPr>
          <w:rFonts w:ascii="Times New Roman" w:eastAsia="Times New Roman" w:hAnsi="Times New Roman" w:cs="Times New Roman"/>
          <w:b/>
          <w:color w:val="0070C0"/>
          <w:sz w:val="26"/>
          <w:szCs w:val="26"/>
          <w:lang w:val="en"/>
        </w:rPr>
        <w:t xml:space="preserve">EXPLANATORY NOTE AND DRAFT DECISION </w:t>
      </w:r>
    </w:p>
    <w:p w14:paraId="079451C3" w14:textId="77777777" w:rsidR="00567F6D" w:rsidRPr="006B0536" w:rsidRDefault="00000000">
      <w:pPr>
        <w:spacing w:after="0"/>
        <w:jc w:val="center"/>
        <w:rPr>
          <w:rFonts w:ascii="Times New Roman" w:hAnsi="Times New Roman" w:cs="Times New Roman"/>
          <w:b/>
          <w:color w:val="0070C0"/>
          <w:sz w:val="26"/>
          <w:szCs w:val="26"/>
          <w:lang w:val="en-US"/>
        </w:rPr>
      </w:pPr>
      <w:r>
        <w:rPr>
          <w:rFonts w:ascii="Times New Roman" w:eastAsia="Times New Roman" w:hAnsi="Times New Roman" w:cs="Times New Roman"/>
          <w:b/>
          <w:color w:val="0070C0"/>
          <w:sz w:val="26"/>
          <w:szCs w:val="26"/>
          <w:lang w:val="en"/>
        </w:rPr>
        <w:t xml:space="preserve">OF THE GENERAL SHAREHOLDERS MEETING </w:t>
      </w:r>
    </w:p>
    <w:p w14:paraId="60114FDF" w14:textId="7FBAEB12" w:rsidR="00567F6D" w:rsidRPr="006B0536" w:rsidRDefault="00000000">
      <w:pPr>
        <w:spacing w:after="0"/>
        <w:jc w:val="center"/>
        <w:rPr>
          <w:rFonts w:ascii="Times New Roman" w:hAnsi="Times New Roman" w:cs="Times New Roman"/>
          <w:b/>
          <w:color w:val="0070C0"/>
          <w:sz w:val="26"/>
          <w:szCs w:val="26"/>
          <w:lang w:val="en-US"/>
        </w:rPr>
      </w:pPr>
      <w:r>
        <w:rPr>
          <w:rFonts w:ascii="Times New Roman" w:eastAsia="Times New Roman" w:hAnsi="Times New Roman" w:cs="Times New Roman"/>
          <w:b/>
          <w:color w:val="0070C0"/>
          <w:sz w:val="26"/>
          <w:szCs w:val="26"/>
          <w:lang w:val="en"/>
        </w:rPr>
        <w:t>OF ROSSETI SOUTH</w:t>
      </w:r>
      <w:r w:rsidR="00486429" w:rsidRPr="00B60BB3">
        <w:rPr>
          <w:rFonts w:ascii="Times New Roman" w:eastAsia="Times New Roman" w:hAnsi="Times New Roman" w:cs="Times New Roman"/>
          <w:b/>
          <w:color w:val="0070C0"/>
          <w:sz w:val="26"/>
          <w:szCs w:val="26"/>
          <w:lang w:val="en-US"/>
        </w:rPr>
        <w:t>,</w:t>
      </w:r>
      <w:r w:rsidR="00486429" w:rsidRPr="00486429">
        <w:rPr>
          <w:rFonts w:ascii="Times New Roman" w:eastAsia="Times New Roman" w:hAnsi="Times New Roman" w:cs="Times New Roman"/>
          <w:b/>
          <w:color w:val="0070C0"/>
          <w:sz w:val="26"/>
          <w:szCs w:val="26"/>
          <w:lang w:val="en"/>
        </w:rPr>
        <w:t xml:space="preserve"> </w:t>
      </w:r>
      <w:r w:rsidR="00486429">
        <w:rPr>
          <w:rFonts w:ascii="Times New Roman" w:eastAsia="Times New Roman" w:hAnsi="Times New Roman" w:cs="Times New Roman"/>
          <w:b/>
          <w:color w:val="0070C0"/>
          <w:sz w:val="26"/>
          <w:szCs w:val="26"/>
          <w:lang w:val="en"/>
        </w:rPr>
        <w:t>PJSC</w:t>
      </w:r>
    </w:p>
    <w:p w14:paraId="13321A65" w14:textId="77777777" w:rsidR="00567F6D" w:rsidRPr="006B0536" w:rsidRDefault="00567F6D">
      <w:pPr>
        <w:spacing w:after="0"/>
        <w:jc w:val="both"/>
        <w:rPr>
          <w:rFonts w:ascii="Times New Roman" w:hAnsi="Times New Roman" w:cs="Times New Roman"/>
          <w:b/>
          <w:sz w:val="26"/>
          <w:szCs w:val="26"/>
          <w:lang w:val="en-US"/>
        </w:rPr>
      </w:pPr>
    </w:p>
    <w:p w14:paraId="042B5C40" w14:textId="2AC99BE3" w:rsidR="00567F6D" w:rsidRPr="00B60BB3" w:rsidRDefault="00000000">
      <w:pPr>
        <w:spacing w:after="0" w:line="240" w:lineRule="auto"/>
        <w:ind w:firstLine="567"/>
        <w:jc w:val="both"/>
        <w:rPr>
          <w:rFonts w:ascii="Times New Roman" w:eastAsia="Times New Roman" w:hAnsi="Times New Roman" w:cs="Times New Roman"/>
          <w:b/>
          <w:color w:val="000000"/>
          <w:sz w:val="26"/>
          <w:szCs w:val="26"/>
          <w:lang w:val="en-US" w:eastAsia="ru-RU"/>
        </w:rPr>
      </w:pPr>
      <w:r>
        <w:rPr>
          <w:rFonts w:ascii="Times New Roman" w:eastAsia="Times New Roman" w:hAnsi="Times New Roman" w:cs="Times New Roman"/>
          <w:b/>
          <w:color w:val="000000"/>
          <w:sz w:val="26"/>
          <w:szCs w:val="26"/>
          <w:u w:val="single"/>
          <w:lang w:val="en" w:eastAsia="ru-RU"/>
        </w:rPr>
        <w:t>ITEM 1:</w:t>
      </w:r>
      <w:r>
        <w:rPr>
          <w:rFonts w:ascii="Times New Roman" w:eastAsia="Times New Roman" w:hAnsi="Times New Roman" w:cs="Times New Roman"/>
          <w:b/>
          <w:color w:val="000000"/>
          <w:sz w:val="26"/>
          <w:szCs w:val="26"/>
          <w:lang w:val="en" w:eastAsia="ru-RU"/>
        </w:rPr>
        <w:t xml:space="preserve"> Concerning the reorganization of Public Joint-Stock Company ROSSETI South in the form of merger with Joint-Stock Company </w:t>
      </w:r>
      <w:r w:rsidR="00B60BB3" w:rsidRPr="00B60BB3">
        <w:rPr>
          <w:rFonts w:ascii="Times New Roman" w:eastAsia="Times New Roman" w:hAnsi="Times New Roman" w:cs="Times New Roman"/>
          <w:b/>
          <w:color w:val="000000"/>
          <w:sz w:val="26"/>
          <w:szCs w:val="26"/>
          <w:lang w:val="en-US" w:eastAsia="ru-RU"/>
        </w:rPr>
        <w:t>"</w:t>
      </w:r>
      <w:r>
        <w:rPr>
          <w:rFonts w:ascii="Times New Roman" w:eastAsia="Times New Roman" w:hAnsi="Times New Roman" w:cs="Times New Roman"/>
          <w:b/>
          <w:color w:val="000000"/>
          <w:sz w:val="26"/>
          <w:szCs w:val="26"/>
          <w:lang w:val="en" w:eastAsia="ru-RU"/>
        </w:rPr>
        <w:t>ROSSETI Kuban</w:t>
      </w:r>
      <w:r w:rsidR="00B60BB3" w:rsidRPr="00B60BB3">
        <w:rPr>
          <w:rFonts w:ascii="Times New Roman" w:eastAsia="Times New Roman" w:hAnsi="Times New Roman" w:cs="Times New Roman"/>
          <w:b/>
          <w:color w:val="000000"/>
          <w:sz w:val="26"/>
          <w:szCs w:val="26"/>
          <w:lang w:val="en-US" w:eastAsia="ru-RU"/>
        </w:rPr>
        <w:t>"</w:t>
      </w:r>
    </w:p>
    <w:p w14:paraId="0E7EC8A3" w14:textId="5FDC0E56" w:rsidR="00567F6D" w:rsidRPr="006B0536" w:rsidRDefault="00000000">
      <w:pPr>
        <w:shd w:val="clear" w:color="auto" w:fill="FFFFFF" w:themeFill="background1"/>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article 15 of the Federal Law dated 26.12.1995 No. 208-FZ "On Joint-Stock Companies" (hereinafter </w:t>
      </w:r>
      <w:r w:rsidR="008C0CFC" w:rsidRPr="008C0CFC">
        <w:rPr>
          <w:rFonts w:ascii="Times New Roman" w:hAnsi="Times New Roman" w:cs="Times New Roman"/>
          <w:sz w:val="26"/>
          <w:szCs w:val="26"/>
          <w:lang w:val="en-US"/>
        </w:rPr>
        <w:t>"</w:t>
      </w:r>
      <w:r>
        <w:rPr>
          <w:rFonts w:ascii="Times New Roman" w:hAnsi="Times New Roman" w:cs="Times New Roman"/>
          <w:sz w:val="26"/>
          <w:szCs w:val="26"/>
          <w:lang w:val="en"/>
        </w:rPr>
        <w:t>JSC Law</w:t>
      </w:r>
      <w:r w:rsidR="008C0CFC" w:rsidRPr="008C0CFC">
        <w:rPr>
          <w:rFonts w:ascii="Times New Roman" w:hAnsi="Times New Roman" w:cs="Times New Roman"/>
          <w:sz w:val="26"/>
          <w:szCs w:val="26"/>
          <w:lang w:val="en-US"/>
        </w:rPr>
        <w:t>"</w:t>
      </w:r>
      <w:r>
        <w:rPr>
          <w:rFonts w:ascii="Times New Roman" w:hAnsi="Times New Roman" w:cs="Times New Roman"/>
          <w:sz w:val="26"/>
          <w:szCs w:val="26"/>
          <w:lang w:val="en"/>
        </w:rPr>
        <w:t>), the Company may be voluntarily reorganized in accordance with the procedure prescribed by the Law on Joint-Stock Companies.</w:t>
      </w:r>
    </w:p>
    <w:p w14:paraId="30E3D056" w14:textId="272B7EAA" w:rsidR="00567F6D" w:rsidRPr="006B0536" w:rsidRDefault="00000000">
      <w:pPr>
        <w:shd w:val="clear" w:color="auto" w:fill="FFFFFF" w:themeFill="background1"/>
        <w:spacing w:after="0" w:line="240" w:lineRule="auto"/>
        <w:ind w:firstLine="567"/>
        <w:jc w:val="both"/>
        <w:rPr>
          <w:lang w:val="en-US"/>
        </w:rPr>
      </w:pPr>
      <w:r>
        <w:rPr>
          <w:rFonts w:ascii="Times New Roman" w:hAnsi="Times New Roman" w:cs="Times New Roman"/>
          <w:sz w:val="26"/>
          <w:szCs w:val="26"/>
          <w:lang w:val="en"/>
        </w:rPr>
        <w:t xml:space="preserve">The reorganization of </w:t>
      </w:r>
      <w:r w:rsidR="00B60BB3">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by merging with </w:t>
      </w:r>
      <w:r w:rsidR="007807B5">
        <w:rPr>
          <w:rFonts w:ascii="Times New Roman" w:hAnsi="Times New Roman" w:cs="Times New Roman"/>
          <w:sz w:val="26"/>
          <w:szCs w:val="26"/>
          <w:lang w:val="en"/>
        </w:rPr>
        <w:t>ROSSETI Kuban, JSC</w:t>
      </w:r>
      <w:r>
        <w:rPr>
          <w:rFonts w:ascii="Times New Roman" w:hAnsi="Times New Roman" w:cs="Times New Roman"/>
          <w:sz w:val="26"/>
          <w:szCs w:val="26"/>
          <w:lang w:val="en"/>
        </w:rPr>
        <w:t xml:space="preserve"> is aimed at maintaining the reliability and sustainability of energy delivery to Russian South, improving the service for electrical consumers by improving the tracking tool, increasing the level of observability and manageability of network infrastructure facilities, arranging conditions for prompt response during repair and emergency recovery work at power grid facilities.</w:t>
      </w:r>
    </w:p>
    <w:p w14:paraId="2EBC32C8" w14:textId="77777777" w:rsidR="00567F6D" w:rsidRPr="006B0536" w:rsidRDefault="00000000">
      <w:pPr>
        <w:shd w:val="clear" w:color="auto" w:fill="FFFFFF" w:themeFill="background1"/>
        <w:spacing w:after="0" w:line="240" w:lineRule="auto"/>
        <w:ind w:firstLine="567"/>
        <w:jc w:val="both"/>
        <w:rPr>
          <w:lang w:val="en-US"/>
        </w:rPr>
      </w:pPr>
      <w:r>
        <w:rPr>
          <w:rFonts w:ascii="Times New Roman" w:hAnsi="Times New Roman" w:cs="Times New Roman"/>
          <w:sz w:val="26"/>
          <w:szCs w:val="26"/>
          <w:lang w:val="en"/>
        </w:rPr>
        <w:t>The project is aimed at further transforming the energy infrastructure, creating the unified digital platform, reducing the operating and investment costs, consolidating the procurement procedures, optimizing the management structure by establishing the unified corporate center.</w:t>
      </w:r>
    </w:p>
    <w:p w14:paraId="04F4FDB3" w14:textId="03C23FF8" w:rsidR="00567F6D" w:rsidRPr="006B0536" w:rsidRDefault="00000000">
      <w:pPr>
        <w:shd w:val="clear" w:color="auto" w:fill="FFFFFF" w:themeFill="background1"/>
        <w:spacing w:after="0" w:line="240" w:lineRule="auto"/>
        <w:ind w:firstLine="567"/>
        <w:jc w:val="both"/>
        <w:rPr>
          <w:lang w:val="en-US"/>
        </w:rPr>
      </w:pPr>
      <w:r>
        <w:rPr>
          <w:rFonts w:ascii="Times New Roman" w:hAnsi="Times New Roman" w:cs="Times New Roman"/>
          <w:sz w:val="26"/>
          <w:szCs w:val="26"/>
          <w:lang w:val="en"/>
        </w:rPr>
        <w:t xml:space="preserve">The merger of </w:t>
      </w:r>
      <w:r w:rsidR="007807B5">
        <w:rPr>
          <w:rFonts w:ascii="Times New Roman" w:hAnsi="Times New Roman" w:cs="Times New Roman"/>
          <w:sz w:val="26"/>
          <w:szCs w:val="26"/>
          <w:lang w:val="en"/>
        </w:rPr>
        <w:t>ROSSETI Kuban, JSC</w:t>
      </w:r>
      <w:r>
        <w:rPr>
          <w:rFonts w:ascii="Times New Roman" w:hAnsi="Times New Roman" w:cs="Times New Roman"/>
          <w:sz w:val="26"/>
          <w:szCs w:val="26"/>
          <w:lang w:val="en"/>
        </w:rPr>
        <w:t xml:space="preserve"> into </w:t>
      </w:r>
      <w:r w:rsidR="00B60BB3">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will make it possible to redistribute flexibly financial flows, taking into account the needs of the Russian South regions, being the unified company responsibility, and create </w:t>
      </w:r>
      <w:r w:rsidR="00B60BB3">
        <w:rPr>
          <w:rFonts w:ascii="Times New Roman" w:hAnsi="Times New Roman" w:cs="Times New Roman"/>
          <w:sz w:val="26"/>
          <w:szCs w:val="26"/>
          <w:lang w:val="en"/>
        </w:rPr>
        <w:t>favorable</w:t>
      </w:r>
      <w:r>
        <w:rPr>
          <w:rFonts w:ascii="Times New Roman" w:hAnsi="Times New Roman" w:cs="Times New Roman"/>
          <w:sz w:val="26"/>
          <w:szCs w:val="26"/>
          <w:lang w:val="en"/>
        </w:rPr>
        <w:t xml:space="preserve"> terms for cross-subsidization.</w:t>
      </w:r>
    </w:p>
    <w:p w14:paraId="45B563BD" w14:textId="41C95F0E" w:rsidR="00567F6D" w:rsidRPr="006B0536" w:rsidRDefault="00000000">
      <w:pPr>
        <w:shd w:val="clear" w:color="auto" w:fill="FFFFFF" w:themeFill="background1"/>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The estimated economic effect from the reduction of operating expenses during the reorganization of </w:t>
      </w:r>
      <w:r w:rsidR="00B60BB3">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and </w:t>
      </w:r>
      <w:r w:rsidR="007807B5">
        <w:rPr>
          <w:rFonts w:ascii="Times New Roman" w:hAnsi="Times New Roman" w:cs="Times New Roman"/>
          <w:sz w:val="26"/>
          <w:szCs w:val="26"/>
          <w:lang w:val="en"/>
        </w:rPr>
        <w:t>ROSSETI Kuban, JSC</w:t>
      </w:r>
      <w:r>
        <w:rPr>
          <w:rFonts w:ascii="Times New Roman" w:hAnsi="Times New Roman" w:cs="Times New Roman"/>
          <w:sz w:val="26"/>
          <w:szCs w:val="26"/>
          <w:lang w:val="en"/>
        </w:rPr>
        <w:t xml:space="preserve"> will preliminarily amount to 236 million rubles per year. Moreover, the reorganization will allow to take into account tax losses of </w:t>
      </w:r>
      <w:r w:rsidR="00B60BB3">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for 2019 and 2021 when calculating taxable profits and optimize the expenses of the merged company by 551 million rubles. Thus, the total economic effect will amount to 787 million rubles.</w:t>
      </w:r>
    </w:p>
    <w:p w14:paraId="5AC02DD7" w14:textId="77777777" w:rsidR="00567F6D" w:rsidRPr="006B0536" w:rsidRDefault="00000000">
      <w:pPr>
        <w:shd w:val="clear" w:color="auto" w:fill="FFFFFF" w:themeFill="background1"/>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The merger of companies will allow to optimize the administrative and management personnel by up to 5% (in addition to the administrative and management personnel optimization in 2021), enhance the management structure efficiency and eliminate duplicate functions. The reduction of expenses on IT-servicing, rendering consultative and audit services is expected.</w:t>
      </w:r>
    </w:p>
    <w:p w14:paraId="19AB6554" w14:textId="77777777" w:rsidR="00567F6D" w:rsidRPr="006B0536" w:rsidRDefault="00000000">
      <w:pPr>
        <w:shd w:val="clear" w:color="auto" w:fill="FFFFFF" w:themeFill="background1"/>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When the company is reorganized in the form of merger into it of another company, the first of them is considered to be reorganized from the date of making the entry for the termination of business of the absorbed company into the Unified State Register of Legal Entities.</w:t>
      </w:r>
    </w:p>
    <w:p w14:paraId="5F5B0149" w14:textId="77777777" w:rsidR="00567F6D" w:rsidRPr="006B0536" w:rsidRDefault="00000000">
      <w:pPr>
        <w:shd w:val="clear" w:color="auto" w:fill="FFFFFF" w:themeFill="background1"/>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Under the article 17, clause 2 of the JSC Law, the absorbed company and the absorbing company conclude the agreement of accession.</w:t>
      </w:r>
    </w:p>
    <w:p w14:paraId="414D2915" w14:textId="361964DA" w:rsidR="00567F6D" w:rsidRPr="008C0CFC" w:rsidRDefault="00000000">
      <w:pPr>
        <w:shd w:val="clear" w:color="auto" w:fill="FFFFFF" w:themeFill="background1"/>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The General shareholders meeting of the absorbing company makes the decision in regards to reorganization in the form of merger, including approval of the agreement of accession, and also makes decisions on other matters (including the decision on the </w:t>
      </w:r>
      <w:r>
        <w:rPr>
          <w:rFonts w:ascii="Times New Roman" w:hAnsi="Times New Roman" w:cs="Times New Roman"/>
          <w:sz w:val="26"/>
          <w:szCs w:val="26"/>
          <w:lang w:val="en"/>
        </w:rPr>
        <w:lastRenderedPageBreak/>
        <w:t>introduction of amendments and additions into the Charter of this company) if it is provided for the agreement of accession. The General shareholders meeting of the absorbed company makes the decision in regards to reorganization in the form of merger, including approval of the agreement of accession, the transfer act.</w:t>
      </w:r>
    </w:p>
    <w:p w14:paraId="482DE31E" w14:textId="58D4AD45" w:rsidR="00567F6D" w:rsidRPr="006B0536" w:rsidRDefault="00000000">
      <w:pPr>
        <w:shd w:val="clear" w:color="auto" w:fill="FFFFFF" w:themeFill="background1"/>
        <w:spacing w:after="0" w:line="240" w:lineRule="auto"/>
        <w:ind w:firstLine="567"/>
        <w:jc w:val="both"/>
        <w:rPr>
          <w:lang w:val="en-US"/>
        </w:rPr>
      </w:pPr>
      <w:r>
        <w:rPr>
          <w:rFonts w:ascii="Times New Roman" w:hAnsi="Times New Roman" w:cs="Times New Roman"/>
          <w:sz w:val="26"/>
          <w:szCs w:val="26"/>
          <w:lang w:val="en"/>
        </w:rPr>
        <w:t xml:space="preserve">Under the article 17, clause 3 of the JSC Law, the agreement of accession of </w:t>
      </w:r>
      <w:r w:rsidR="007807B5">
        <w:rPr>
          <w:rFonts w:ascii="Times New Roman" w:hAnsi="Times New Roman" w:cs="Times New Roman"/>
          <w:sz w:val="26"/>
          <w:szCs w:val="26"/>
          <w:lang w:val="en"/>
        </w:rPr>
        <w:t>ROSSETI Kuban, JSC</w:t>
      </w:r>
      <w:r>
        <w:rPr>
          <w:rFonts w:ascii="Times New Roman" w:hAnsi="Times New Roman" w:cs="Times New Roman"/>
          <w:sz w:val="26"/>
          <w:szCs w:val="26"/>
          <w:lang w:val="en"/>
        </w:rPr>
        <w:t xml:space="preserve"> to </w:t>
      </w:r>
      <w:r w:rsidR="00B60BB3">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contains the following:</w:t>
      </w:r>
    </w:p>
    <w:p w14:paraId="236EE398" w14:textId="77777777" w:rsidR="00567F6D" w:rsidRPr="006B0536" w:rsidRDefault="00000000">
      <w:pPr>
        <w:shd w:val="clear" w:color="auto" w:fill="FFFFFF" w:themeFill="background1"/>
        <w:spacing w:after="0" w:line="240" w:lineRule="auto"/>
        <w:ind w:firstLine="567"/>
        <w:jc w:val="both"/>
        <w:rPr>
          <w:lang w:val="en-US"/>
        </w:rPr>
      </w:pPr>
      <w:r>
        <w:rPr>
          <w:rFonts w:ascii="Times New Roman" w:hAnsi="Times New Roman" w:cs="Times New Roman"/>
          <w:sz w:val="26"/>
          <w:szCs w:val="26"/>
          <w:lang w:val="en"/>
        </w:rPr>
        <w:t>1) name, information on registered addresses of each company participating in accession;</w:t>
      </w:r>
    </w:p>
    <w:p w14:paraId="701E150F" w14:textId="77777777" w:rsidR="00567F6D" w:rsidRPr="006B0536" w:rsidRDefault="00000000">
      <w:pPr>
        <w:shd w:val="clear" w:color="auto" w:fill="FFFFFF" w:themeFill="background1"/>
        <w:spacing w:after="0" w:line="240" w:lineRule="auto"/>
        <w:ind w:firstLine="567"/>
        <w:jc w:val="both"/>
        <w:rPr>
          <w:lang w:val="en-US"/>
        </w:rPr>
      </w:pPr>
      <w:r>
        <w:rPr>
          <w:rFonts w:ascii="Times New Roman" w:hAnsi="Times New Roman" w:cs="Times New Roman"/>
          <w:sz w:val="26"/>
          <w:szCs w:val="26"/>
          <w:lang w:val="en"/>
        </w:rPr>
        <w:t>2) procedure and conditions of accession;</w:t>
      </w:r>
    </w:p>
    <w:p w14:paraId="4D1ACE4B" w14:textId="77777777" w:rsidR="00567F6D" w:rsidRPr="006B0536" w:rsidRDefault="00000000">
      <w:pPr>
        <w:shd w:val="clear" w:color="auto" w:fill="FFFFFF" w:themeFill="background1"/>
        <w:spacing w:after="0" w:line="240" w:lineRule="auto"/>
        <w:ind w:firstLine="567"/>
        <w:jc w:val="both"/>
        <w:rPr>
          <w:lang w:val="en-US"/>
        </w:rPr>
      </w:pPr>
      <w:r>
        <w:rPr>
          <w:rFonts w:ascii="Times New Roman" w:hAnsi="Times New Roman" w:cs="Times New Roman"/>
          <w:sz w:val="26"/>
          <w:szCs w:val="26"/>
          <w:lang w:val="en"/>
        </w:rPr>
        <w:t>3) procedure for converting shares of the absorbed company into shares of the absorbing company and the ratio (coefficient) for converting shares of these companies.</w:t>
      </w:r>
    </w:p>
    <w:p w14:paraId="1868F82D" w14:textId="6B5F14A1" w:rsidR="00567F6D" w:rsidRPr="006B0536" w:rsidRDefault="00000000">
      <w:pPr>
        <w:shd w:val="clear" w:color="auto" w:fill="FFFFFF" w:themeFill="background1"/>
        <w:spacing w:after="0" w:line="240" w:lineRule="auto"/>
        <w:ind w:firstLine="567"/>
        <w:jc w:val="both"/>
        <w:rPr>
          <w:lang w:val="en-US"/>
        </w:rPr>
      </w:pPr>
      <w:r>
        <w:rPr>
          <w:rFonts w:ascii="Times New Roman" w:hAnsi="Times New Roman" w:cs="Times New Roman"/>
          <w:sz w:val="26"/>
          <w:szCs w:val="26"/>
          <w:lang w:val="en"/>
        </w:rPr>
        <w:t xml:space="preserve">Upon merger, all ordinary shares of </w:t>
      </w:r>
      <w:r w:rsidR="007807B5">
        <w:rPr>
          <w:rFonts w:ascii="Times New Roman" w:hAnsi="Times New Roman" w:cs="Times New Roman"/>
          <w:sz w:val="26"/>
          <w:szCs w:val="26"/>
          <w:lang w:val="en"/>
        </w:rPr>
        <w:t>ROSSETI Kuban, JSC</w:t>
      </w:r>
      <w:r>
        <w:rPr>
          <w:rFonts w:ascii="Times New Roman" w:hAnsi="Times New Roman" w:cs="Times New Roman"/>
          <w:sz w:val="26"/>
          <w:szCs w:val="26"/>
          <w:lang w:val="en"/>
        </w:rPr>
        <w:t xml:space="preserve"> are converted into additional ordinary shares of </w:t>
      </w:r>
      <w:r w:rsidR="00B60BB3">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in accordance with the conversion coefficient which is proposed to be determined taking into account the requirements of clause 47.4 of the Regulation of the Bank of Russia dated 19.12.2019 No. 706-P “On standards for the issue of securities” based on the report dated 05.03.2025 No. 61002501000133-OB/1 on evaluation of the market value of shares of </w:t>
      </w:r>
      <w:r w:rsidR="007807B5">
        <w:rPr>
          <w:rFonts w:ascii="Times New Roman" w:hAnsi="Times New Roman" w:cs="Times New Roman"/>
          <w:sz w:val="26"/>
          <w:szCs w:val="26"/>
          <w:lang w:val="en"/>
        </w:rPr>
        <w:t>ROSSETI Kuban, JSC</w:t>
      </w:r>
      <w:r>
        <w:rPr>
          <w:rFonts w:ascii="Times New Roman" w:hAnsi="Times New Roman" w:cs="Times New Roman"/>
          <w:sz w:val="26"/>
          <w:szCs w:val="26"/>
          <w:lang w:val="en"/>
        </w:rPr>
        <w:t xml:space="preserve"> and the report dated 05.03.2025 No. 61002501000133-OB/2 on evaluation of the market value of shares of </w:t>
      </w:r>
      <w:r w:rsidR="00B60BB3">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prepared by the appraiser – SRG Consulting LLC: 0.000737954 ordinary shares of </w:t>
      </w:r>
      <w:r w:rsidR="007807B5">
        <w:rPr>
          <w:rFonts w:ascii="Times New Roman" w:hAnsi="Times New Roman" w:cs="Times New Roman"/>
          <w:sz w:val="26"/>
          <w:szCs w:val="26"/>
          <w:lang w:val="en"/>
        </w:rPr>
        <w:t>ROSSETI Kuban, JSC</w:t>
      </w:r>
      <w:r>
        <w:rPr>
          <w:rFonts w:ascii="Times New Roman" w:hAnsi="Times New Roman" w:cs="Times New Roman"/>
          <w:sz w:val="26"/>
          <w:szCs w:val="26"/>
          <w:lang w:val="en"/>
        </w:rPr>
        <w:t xml:space="preserve"> are converted into 1 (one) ordinary share of </w:t>
      </w:r>
      <w:r w:rsidR="00B60BB3">
        <w:rPr>
          <w:rFonts w:ascii="Times New Roman" w:hAnsi="Times New Roman" w:cs="Times New Roman"/>
          <w:sz w:val="26"/>
          <w:szCs w:val="26"/>
          <w:lang w:val="en"/>
        </w:rPr>
        <w:t>ROSSETI South, PJSC</w:t>
      </w:r>
      <w:r>
        <w:rPr>
          <w:rFonts w:ascii="Times New Roman" w:hAnsi="Times New Roman" w:cs="Times New Roman"/>
          <w:sz w:val="26"/>
          <w:szCs w:val="26"/>
          <w:lang w:val="en"/>
        </w:rPr>
        <w:t>.</w:t>
      </w:r>
    </w:p>
    <w:p w14:paraId="0E05A387" w14:textId="6814A422" w:rsidR="00567F6D" w:rsidRPr="006B0536" w:rsidRDefault="00000000">
      <w:pPr>
        <w:shd w:val="clear" w:color="auto" w:fill="FFFFFF" w:themeFill="background1"/>
        <w:spacing w:after="0" w:line="240" w:lineRule="auto"/>
        <w:ind w:firstLine="567"/>
        <w:jc w:val="both"/>
        <w:rPr>
          <w:lang w:val="en-US"/>
        </w:rPr>
      </w:pPr>
      <w:r>
        <w:rPr>
          <w:rFonts w:ascii="Times New Roman" w:hAnsi="Times New Roman" w:cs="Times New Roman"/>
          <w:sz w:val="26"/>
          <w:szCs w:val="26"/>
          <w:lang w:val="en"/>
        </w:rPr>
        <w:t xml:space="preserve">When </w:t>
      </w:r>
      <w:r w:rsidR="007807B5">
        <w:rPr>
          <w:rFonts w:ascii="Times New Roman" w:hAnsi="Times New Roman" w:cs="Times New Roman"/>
          <w:sz w:val="26"/>
          <w:szCs w:val="26"/>
          <w:lang w:val="en"/>
        </w:rPr>
        <w:t>ROSSETI Kuban, JSC</w:t>
      </w:r>
      <w:r>
        <w:rPr>
          <w:rFonts w:ascii="Times New Roman" w:hAnsi="Times New Roman" w:cs="Times New Roman"/>
          <w:sz w:val="26"/>
          <w:szCs w:val="26"/>
          <w:lang w:val="en"/>
        </w:rPr>
        <w:t xml:space="preserve"> mergers into </w:t>
      </w:r>
      <w:r w:rsidR="00B60BB3">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all of the rights and obligations of </w:t>
      </w:r>
      <w:r w:rsidR="007807B5">
        <w:rPr>
          <w:rFonts w:ascii="Times New Roman" w:hAnsi="Times New Roman" w:cs="Times New Roman"/>
          <w:sz w:val="26"/>
          <w:szCs w:val="26"/>
          <w:lang w:val="en"/>
        </w:rPr>
        <w:t>ROSSETI Kuban, JSC</w:t>
      </w:r>
      <w:r>
        <w:rPr>
          <w:rFonts w:ascii="Times New Roman" w:hAnsi="Times New Roman" w:cs="Times New Roman"/>
          <w:sz w:val="26"/>
          <w:szCs w:val="26"/>
          <w:lang w:val="en"/>
        </w:rPr>
        <w:t xml:space="preserve"> are transferred to </w:t>
      </w:r>
      <w:r w:rsidR="00B60BB3">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in accordance with the certificate of ownership and merger (article 17, clause 5 of the JSC Law).</w:t>
      </w:r>
    </w:p>
    <w:p w14:paraId="095F28F8" w14:textId="77777777" w:rsidR="00567F6D" w:rsidRPr="006B0536" w:rsidRDefault="00000000">
      <w:pPr>
        <w:shd w:val="clear" w:color="auto" w:fill="FFFFFF" w:themeFill="background1"/>
        <w:spacing w:after="0" w:line="240" w:lineRule="auto"/>
        <w:ind w:firstLine="567"/>
        <w:jc w:val="both"/>
        <w:rPr>
          <w:lang w:val="en-US"/>
        </w:rPr>
      </w:pPr>
      <w:r>
        <w:rPr>
          <w:rFonts w:ascii="Times New Roman" w:hAnsi="Times New Roman" w:cs="Times New Roman"/>
          <w:sz w:val="26"/>
          <w:szCs w:val="26"/>
          <w:lang w:val="en"/>
        </w:rPr>
        <w:t xml:space="preserve">According to the article 60, clause 1 of Civil Code of the Russian Federation, within three working days after the date of decision on the reorganization of a legal entity, it is obliged to notify in writing the authorized state body that carries out state registration of legal entities about the beginning of the reorganization procedure, specifying the form of reorganization. In case of participation in the reorganization of two or more legal entities, such notification shall be sent by the legal entity that was the last one to make the decision on reorganization or a specific decision on reorganization. </w:t>
      </w:r>
    </w:p>
    <w:p w14:paraId="22B36B0B" w14:textId="719BF49C" w:rsidR="00567F6D" w:rsidRPr="006B0536" w:rsidRDefault="00000000">
      <w:pPr>
        <w:shd w:val="clear" w:color="auto" w:fill="FFFFFF" w:themeFill="background1"/>
        <w:spacing w:after="0" w:line="240" w:lineRule="auto"/>
        <w:ind w:firstLine="567"/>
        <w:jc w:val="both"/>
        <w:rPr>
          <w:lang w:val="en-US"/>
        </w:rPr>
      </w:pPr>
      <w:r>
        <w:rPr>
          <w:rFonts w:ascii="Times New Roman" w:hAnsi="Times New Roman" w:cs="Times New Roman"/>
          <w:sz w:val="26"/>
          <w:szCs w:val="26"/>
          <w:lang w:val="en"/>
        </w:rPr>
        <w:t xml:space="preserve">It is proposed to designate </w:t>
      </w:r>
      <w:r w:rsidR="00B60BB3">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as the entity notifying in writing the authorized state body, which carries out state registration of legal entities, about the beginning of the reorganization procedure and publishing on behalf of all reorganized companies in mass media, in which data on state registration of legal entities are published, a notice about the reorganization of </w:t>
      </w:r>
      <w:r w:rsidR="00B60BB3">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in the form of merger of </w:t>
      </w:r>
      <w:r w:rsidR="007807B5">
        <w:rPr>
          <w:rFonts w:ascii="Times New Roman" w:hAnsi="Times New Roman" w:cs="Times New Roman"/>
          <w:sz w:val="26"/>
          <w:szCs w:val="26"/>
          <w:lang w:val="en"/>
        </w:rPr>
        <w:t>ROSSETI Kuban, JSC</w:t>
      </w:r>
      <w:r>
        <w:rPr>
          <w:rFonts w:ascii="Times New Roman" w:hAnsi="Times New Roman" w:cs="Times New Roman"/>
          <w:sz w:val="26"/>
          <w:szCs w:val="26"/>
          <w:lang w:val="en"/>
        </w:rPr>
        <w:t xml:space="preserve"> into it.</w:t>
      </w:r>
    </w:p>
    <w:p w14:paraId="581E3A45" w14:textId="122D2988" w:rsidR="00567F6D" w:rsidRPr="006B0536" w:rsidRDefault="00000000">
      <w:pPr>
        <w:spacing w:after="0" w:line="240" w:lineRule="auto"/>
        <w:ind w:firstLine="567"/>
        <w:jc w:val="both"/>
        <w:rPr>
          <w:lang w:val="en-US"/>
        </w:rPr>
      </w:pPr>
      <w:r>
        <w:rPr>
          <w:rFonts w:ascii="Times New Roman" w:eastAsia="Times New Roman" w:hAnsi="Times New Roman" w:cs="Times New Roman"/>
          <w:bCs/>
          <w:sz w:val="26"/>
          <w:szCs w:val="26"/>
          <w:lang w:val="en"/>
        </w:rPr>
        <w:t xml:space="preserve">The Board of directors of </w:t>
      </w:r>
      <w:r w:rsidR="00B60BB3">
        <w:rPr>
          <w:rFonts w:ascii="Times New Roman" w:eastAsia="Times New Roman" w:hAnsi="Times New Roman" w:cs="Times New Roman"/>
          <w:bCs/>
          <w:sz w:val="26"/>
          <w:szCs w:val="26"/>
          <w:lang w:val="en"/>
        </w:rPr>
        <w:t>ROSSETI South, PJSC</w:t>
      </w:r>
      <w:r>
        <w:rPr>
          <w:rFonts w:ascii="Times New Roman" w:eastAsia="Times New Roman" w:hAnsi="Times New Roman" w:cs="Times New Roman"/>
          <w:bCs/>
          <w:sz w:val="26"/>
          <w:szCs w:val="26"/>
          <w:lang w:val="en"/>
        </w:rPr>
        <w:t xml:space="preserve"> by the decision dated 11.04.2025 (minutes of meeting No. 613/2025) recommended to the General shareholders meeting of </w:t>
      </w:r>
      <w:r w:rsidR="00B60BB3">
        <w:rPr>
          <w:rFonts w:ascii="Times New Roman" w:eastAsia="Times New Roman" w:hAnsi="Times New Roman" w:cs="Times New Roman"/>
          <w:bCs/>
          <w:sz w:val="26"/>
          <w:szCs w:val="26"/>
          <w:lang w:val="en"/>
        </w:rPr>
        <w:t>ROSSETI South, PJSC</w:t>
      </w:r>
      <w:r>
        <w:rPr>
          <w:rFonts w:ascii="Times New Roman" w:eastAsia="Calibri" w:hAnsi="Times New Roman" w:cs="Times New Roman"/>
          <w:bCs/>
          <w:color w:val="000000"/>
          <w:sz w:val="26"/>
          <w:szCs w:val="26"/>
          <w:lang w:val="en"/>
        </w:rPr>
        <w:t xml:space="preserve"> to adopt the following decision:</w:t>
      </w:r>
    </w:p>
    <w:p w14:paraId="1AAE4887" w14:textId="324B04AA" w:rsidR="00567F6D" w:rsidRPr="006B0536"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"1. Reorganize Public Joint Stock Company ROSSETI South (OGRN 1076164009096) (hereinafter </w:t>
      </w:r>
      <w:r w:rsidR="008C0CFC" w:rsidRPr="008C0CFC">
        <w:rPr>
          <w:rFonts w:ascii="Times New Roman" w:eastAsia="Calibri" w:hAnsi="Times New Roman" w:cs="Times New Roman"/>
          <w:color w:val="000000"/>
          <w:sz w:val="26"/>
          <w:szCs w:val="26"/>
          <w:lang w:val="en-US"/>
        </w:rPr>
        <w:t>"</w:t>
      </w:r>
      <w:r w:rsidR="00B60BB3">
        <w:rPr>
          <w:rFonts w:ascii="Times New Roman" w:eastAsia="Calibri" w:hAnsi="Times New Roman" w:cs="Times New Roman"/>
          <w:color w:val="000000"/>
          <w:sz w:val="26"/>
          <w:szCs w:val="26"/>
          <w:lang w:val="en"/>
        </w:rPr>
        <w:t>ROSSETI South, PJSC</w:t>
      </w:r>
      <w:r w:rsidR="008C0CFC" w:rsidRPr="008C0CFC">
        <w:rPr>
          <w:rFonts w:ascii="Times New Roman" w:eastAsia="Calibri" w:hAnsi="Times New Roman" w:cs="Times New Roman"/>
          <w:color w:val="000000"/>
          <w:sz w:val="26"/>
          <w:szCs w:val="26"/>
          <w:lang w:val="en-US"/>
        </w:rPr>
        <w:t>"</w:t>
      </w:r>
      <w:r>
        <w:rPr>
          <w:rFonts w:ascii="Times New Roman" w:eastAsia="Calibri" w:hAnsi="Times New Roman" w:cs="Times New Roman"/>
          <w:color w:val="000000"/>
          <w:sz w:val="26"/>
          <w:szCs w:val="26"/>
          <w:lang w:val="en"/>
        </w:rPr>
        <w:t xml:space="preserve">) in the form of merger into it of Joint Stock Company </w:t>
      </w:r>
      <w:r w:rsidR="008C0CFC" w:rsidRPr="008C0CFC">
        <w:rPr>
          <w:rFonts w:ascii="Times New Roman" w:eastAsia="Calibri" w:hAnsi="Times New Roman" w:cs="Times New Roman"/>
          <w:color w:val="000000"/>
          <w:sz w:val="26"/>
          <w:szCs w:val="26"/>
          <w:lang w:val="en-US"/>
        </w:rPr>
        <w:t>"</w:t>
      </w:r>
      <w:r>
        <w:rPr>
          <w:rFonts w:ascii="Times New Roman" w:eastAsia="Calibri" w:hAnsi="Times New Roman" w:cs="Times New Roman"/>
          <w:color w:val="000000"/>
          <w:sz w:val="26"/>
          <w:szCs w:val="26"/>
          <w:lang w:val="en"/>
        </w:rPr>
        <w:t>ROSSETI Kuban</w:t>
      </w:r>
      <w:r w:rsidR="008C0CFC" w:rsidRPr="008C0CFC">
        <w:rPr>
          <w:rFonts w:ascii="Times New Roman" w:eastAsia="Calibri" w:hAnsi="Times New Roman" w:cs="Times New Roman"/>
          <w:color w:val="000000"/>
          <w:sz w:val="26"/>
          <w:szCs w:val="26"/>
          <w:lang w:val="en-US"/>
        </w:rPr>
        <w:t>"</w:t>
      </w:r>
      <w:r>
        <w:rPr>
          <w:rFonts w:ascii="Times New Roman" w:eastAsia="Calibri" w:hAnsi="Times New Roman" w:cs="Times New Roman"/>
          <w:color w:val="000000"/>
          <w:sz w:val="26"/>
          <w:szCs w:val="26"/>
          <w:lang w:val="en"/>
        </w:rPr>
        <w:t xml:space="preserve"> (OGRN 1022301427268) (hereinafter </w:t>
      </w:r>
      <w:r w:rsidR="008C0CFC" w:rsidRPr="008C0CFC">
        <w:rPr>
          <w:rFonts w:ascii="Times New Roman" w:eastAsia="Calibri" w:hAnsi="Times New Roman" w:cs="Times New Roman"/>
          <w:color w:val="000000"/>
          <w:sz w:val="26"/>
          <w:szCs w:val="26"/>
          <w:lang w:val="en-US"/>
        </w:rPr>
        <w:t>"</w:t>
      </w:r>
      <w:r w:rsidR="007807B5">
        <w:rPr>
          <w:rFonts w:ascii="Times New Roman" w:eastAsia="Calibri" w:hAnsi="Times New Roman" w:cs="Times New Roman"/>
          <w:color w:val="000000"/>
          <w:sz w:val="26"/>
          <w:szCs w:val="26"/>
          <w:lang w:val="en"/>
        </w:rPr>
        <w:t>ROSSETI Kuban, JSC</w:t>
      </w:r>
      <w:r w:rsidR="008C0CFC" w:rsidRPr="008C0CFC">
        <w:rPr>
          <w:rFonts w:ascii="Times New Roman" w:eastAsia="Calibri" w:hAnsi="Times New Roman" w:cs="Times New Roman"/>
          <w:color w:val="000000"/>
          <w:sz w:val="26"/>
          <w:szCs w:val="26"/>
          <w:lang w:val="en-US"/>
        </w:rPr>
        <w:t>"</w:t>
      </w:r>
      <w:r>
        <w:rPr>
          <w:rFonts w:ascii="Times New Roman" w:eastAsia="Calibri" w:hAnsi="Times New Roman" w:cs="Times New Roman"/>
          <w:color w:val="000000"/>
          <w:sz w:val="26"/>
          <w:szCs w:val="26"/>
          <w:lang w:val="en"/>
        </w:rPr>
        <w:t xml:space="preserve">) in a manner and in terms stipulated by the agreement of accession of </w:t>
      </w:r>
      <w:r w:rsidR="007807B5">
        <w:rPr>
          <w:rFonts w:ascii="Times New Roman" w:eastAsia="Calibri" w:hAnsi="Times New Roman" w:cs="Times New Roman"/>
          <w:color w:val="000000"/>
          <w:sz w:val="26"/>
          <w:szCs w:val="26"/>
          <w:lang w:val="en"/>
        </w:rPr>
        <w:t>ROSSETI Kuban, JSC</w:t>
      </w:r>
      <w:r>
        <w:rPr>
          <w:rFonts w:ascii="Times New Roman" w:eastAsia="Calibri" w:hAnsi="Times New Roman" w:cs="Times New Roman"/>
          <w:color w:val="000000"/>
          <w:sz w:val="26"/>
          <w:szCs w:val="26"/>
          <w:lang w:val="en"/>
        </w:rPr>
        <w:t xml:space="preserve"> to </w:t>
      </w:r>
      <w:r w:rsidR="00B60BB3">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(hereinafter</w:t>
      </w:r>
      <w:r w:rsidR="008C0CFC" w:rsidRPr="008C0CFC">
        <w:rPr>
          <w:rFonts w:ascii="Times New Roman" w:eastAsia="Calibri" w:hAnsi="Times New Roman" w:cs="Times New Roman"/>
          <w:color w:val="000000"/>
          <w:sz w:val="26"/>
          <w:szCs w:val="26"/>
          <w:lang w:val="en-US"/>
        </w:rPr>
        <w:t xml:space="preserve"> "</w:t>
      </w:r>
      <w:r>
        <w:rPr>
          <w:rFonts w:ascii="Times New Roman" w:eastAsia="Calibri" w:hAnsi="Times New Roman" w:cs="Times New Roman"/>
          <w:color w:val="000000"/>
          <w:sz w:val="26"/>
          <w:szCs w:val="26"/>
          <w:lang w:val="en"/>
        </w:rPr>
        <w:t>Agreement of accession</w:t>
      </w:r>
      <w:r w:rsidR="008C0CFC" w:rsidRPr="008C0CFC">
        <w:rPr>
          <w:rFonts w:ascii="Times New Roman" w:eastAsia="Calibri" w:hAnsi="Times New Roman" w:cs="Times New Roman"/>
          <w:color w:val="000000"/>
          <w:sz w:val="26"/>
          <w:szCs w:val="26"/>
          <w:lang w:val="en-US"/>
        </w:rPr>
        <w:t>"</w:t>
      </w:r>
      <w:r>
        <w:rPr>
          <w:rFonts w:ascii="Times New Roman" w:eastAsia="Calibri" w:hAnsi="Times New Roman" w:cs="Times New Roman"/>
          <w:color w:val="000000"/>
          <w:sz w:val="26"/>
          <w:szCs w:val="26"/>
          <w:lang w:val="en"/>
        </w:rPr>
        <w:t>) approved by this decision.</w:t>
      </w:r>
    </w:p>
    <w:p w14:paraId="2B212641" w14:textId="77777777" w:rsidR="00567F6D" w:rsidRPr="006B0536"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lastRenderedPageBreak/>
        <w:t>2. Approve the Agreement of accession according to Appendix 1 to this decision.</w:t>
      </w:r>
    </w:p>
    <w:p w14:paraId="31C562D5" w14:textId="56B0A1F2" w:rsidR="00567F6D" w:rsidRPr="006B0536"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3 Specify that </w:t>
      </w:r>
      <w:r w:rsidR="00B60BB3">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within 3 (three) working days from the date of decision on reorganization, as the last one of reorganized companies, notifies in writing the authorized state body of state registration of legal entities about the beginning of the reorganization procedure and, after making the entry for the beginning of the reorganization procedure into the Unified State Register of Legal Entities, two times at monthly intervals publishes on behalf of all reorganized companies in mass media, in which data on the state registration of legal entities are published, a notice about the reorganization of </w:t>
      </w:r>
      <w:r w:rsidR="00B60BB3">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in the form of merger of </w:t>
      </w:r>
      <w:r w:rsidR="007807B5">
        <w:rPr>
          <w:rFonts w:ascii="Times New Roman" w:eastAsia="Calibri" w:hAnsi="Times New Roman" w:cs="Times New Roman"/>
          <w:color w:val="000000"/>
          <w:sz w:val="26"/>
          <w:szCs w:val="26"/>
          <w:lang w:val="en"/>
        </w:rPr>
        <w:t>ROSSETI Kuban, JSC</w:t>
      </w:r>
      <w:r>
        <w:rPr>
          <w:rFonts w:ascii="Times New Roman" w:eastAsia="Calibri" w:hAnsi="Times New Roman" w:cs="Times New Roman"/>
          <w:color w:val="000000"/>
          <w:sz w:val="26"/>
          <w:szCs w:val="26"/>
          <w:lang w:val="en"/>
        </w:rPr>
        <w:t xml:space="preserve"> into it.     </w:t>
      </w:r>
    </w:p>
    <w:p w14:paraId="7C6D4956" w14:textId="77777777" w:rsidR="00567F6D" w:rsidRPr="006B0536" w:rsidRDefault="00000000">
      <w:pPr>
        <w:spacing w:after="0" w:line="240" w:lineRule="auto"/>
        <w:ind w:firstLine="567"/>
        <w:jc w:val="both"/>
        <w:rPr>
          <w:lang w:val="en-US"/>
        </w:rPr>
      </w:pPr>
      <w:r>
        <w:rPr>
          <w:rFonts w:ascii="Times New Roman" w:eastAsia="Times New Roman" w:hAnsi="Times New Roman" w:cs="Times New Roman"/>
          <w:bCs/>
          <w:sz w:val="26"/>
          <w:szCs w:val="26"/>
          <w:lang w:val="en"/>
        </w:rPr>
        <w:t>In accordance with the Company Charter, the article 10, clause 10.5, the decision on this matter is adopted by a three-quarter majority vote of voting shareholders of the Company participating in absentee voting.</w:t>
      </w:r>
    </w:p>
    <w:p w14:paraId="07A35EC8" w14:textId="4F57DCD0" w:rsidR="00567F6D" w:rsidRPr="006B0536" w:rsidRDefault="00000000">
      <w:pPr>
        <w:spacing w:after="0" w:line="240" w:lineRule="auto"/>
        <w:ind w:firstLine="567"/>
        <w:jc w:val="both"/>
        <w:rPr>
          <w:lang w:val="en-US"/>
        </w:rPr>
      </w:pPr>
      <w:r>
        <w:rPr>
          <w:rFonts w:ascii="Times New Roman" w:eastAsia="Times New Roman" w:hAnsi="Times New Roman" w:cs="Times New Roman"/>
          <w:sz w:val="26"/>
          <w:szCs w:val="26"/>
          <w:lang w:val="en"/>
        </w:rPr>
        <w:t xml:space="preserve">Given these considerations, the General shareholders meeting of </w:t>
      </w:r>
      <w:r w:rsidR="00B60BB3">
        <w:rPr>
          <w:rFonts w:ascii="Times New Roman" w:eastAsia="Times New Roman" w:hAnsi="Times New Roman" w:cs="Times New Roman"/>
          <w:sz w:val="26"/>
          <w:szCs w:val="26"/>
          <w:lang w:val="en"/>
        </w:rPr>
        <w:t>ROSSETI South, PJSC</w:t>
      </w:r>
      <w:r>
        <w:rPr>
          <w:rFonts w:ascii="Times New Roman" w:eastAsia="Times New Roman" w:hAnsi="Times New Roman" w:cs="Times New Roman"/>
          <w:sz w:val="26"/>
          <w:szCs w:val="26"/>
          <w:lang w:val="en"/>
        </w:rPr>
        <w:t xml:space="preserve"> is proposed to make decision on this item.</w:t>
      </w:r>
    </w:p>
    <w:p w14:paraId="2177DFEC" w14:textId="77777777" w:rsidR="00567F6D" w:rsidRPr="006B0536" w:rsidRDefault="00000000">
      <w:pPr>
        <w:spacing w:after="0" w:line="240" w:lineRule="auto"/>
        <w:ind w:firstLine="567"/>
        <w:contextualSpacing/>
        <w:jc w:val="both"/>
        <w:rPr>
          <w:u w:val="single"/>
          <w:lang w:val="en-US"/>
        </w:rPr>
      </w:pPr>
      <w:r>
        <w:rPr>
          <w:rFonts w:ascii="Times New Roman" w:hAnsi="Times New Roman" w:cs="Times New Roman"/>
          <w:b/>
          <w:sz w:val="26"/>
          <w:szCs w:val="26"/>
          <w:u w:val="single"/>
          <w:lang w:val="en"/>
        </w:rPr>
        <w:t>DRAFT DECISION</w:t>
      </w:r>
      <w:r>
        <w:rPr>
          <w:rFonts w:ascii="Times New Roman" w:hAnsi="Times New Roman" w:cs="Times New Roman"/>
          <w:sz w:val="26"/>
          <w:szCs w:val="26"/>
          <w:u w:val="single"/>
          <w:lang w:val="en"/>
        </w:rPr>
        <w:t>:</w:t>
      </w:r>
    </w:p>
    <w:p w14:paraId="0ED61C3B" w14:textId="059BDE2F" w:rsidR="00567F6D" w:rsidRPr="006B0536"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1. Reorganize Public Joint-Stock Company ROSSETI South (OGRN 1076164009096) (hereinafter </w:t>
      </w:r>
      <w:r w:rsidR="008C0CFC" w:rsidRPr="008C0CFC">
        <w:rPr>
          <w:rFonts w:ascii="Times New Roman" w:eastAsia="Calibri" w:hAnsi="Times New Roman" w:cs="Times New Roman"/>
          <w:color w:val="000000"/>
          <w:sz w:val="26"/>
          <w:szCs w:val="26"/>
          <w:lang w:val="en-US"/>
        </w:rPr>
        <w:t>"</w:t>
      </w:r>
      <w:r w:rsidR="00B60BB3">
        <w:rPr>
          <w:rFonts w:ascii="Times New Roman" w:eastAsia="Calibri" w:hAnsi="Times New Roman" w:cs="Times New Roman"/>
          <w:color w:val="000000"/>
          <w:sz w:val="26"/>
          <w:szCs w:val="26"/>
          <w:lang w:val="en"/>
        </w:rPr>
        <w:t>ROSSETI South, PJSC</w:t>
      </w:r>
      <w:r w:rsidR="008C0CFC" w:rsidRPr="008C0CFC">
        <w:rPr>
          <w:rFonts w:ascii="Times New Roman" w:eastAsia="Calibri" w:hAnsi="Times New Roman" w:cs="Times New Roman"/>
          <w:color w:val="000000"/>
          <w:sz w:val="26"/>
          <w:szCs w:val="26"/>
          <w:lang w:val="en-US"/>
        </w:rPr>
        <w:t>"</w:t>
      </w:r>
      <w:r>
        <w:rPr>
          <w:rFonts w:ascii="Times New Roman" w:eastAsia="Calibri" w:hAnsi="Times New Roman" w:cs="Times New Roman"/>
          <w:color w:val="000000"/>
          <w:sz w:val="26"/>
          <w:szCs w:val="26"/>
          <w:lang w:val="en"/>
        </w:rPr>
        <w:t xml:space="preserve">) in the form of merger into it of </w:t>
      </w:r>
      <w:r w:rsidR="007807B5">
        <w:rPr>
          <w:rFonts w:ascii="Times New Roman" w:eastAsia="Calibri" w:hAnsi="Times New Roman" w:cs="Times New Roman"/>
          <w:color w:val="000000"/>
          <w:sz w:val="26"/>
          <w:szCs w:val="26"/>
          <w:lang w:val="en"/>
        </w:rPr>
        <w:t>ROSSETI Kuban, JSC</w:t>
      </w:r>
      <w:r>
        <w:rPr>
          <w:rFonts w:ascii="Times New Roman" w:eastAsia="Calibri" w:hAnsi="Times New Roman" w:cs="Times New Roman"/>
          <w:color w:val="000000"/>
          <w:sz w:val="26"/>
          <w:szCs w:val="26"/>
          <w:lang w:val="en"/>
        </w:rPr>
        <w:t xml:space="preserve"> (OGRN 1022301427268) (hereinafter </w:t>
      </w:r>
      <w:r w:rsidR="008C0CFC" w:rsidRPr="008C0CFC">
        <w:rPr>
          <w:rFonts w:ascii="Times New Roman" w:eastAsia="Calibri" w:hAnsi="Times New Roman" w:cs="Times New Roman"/>
          <w:color w:val="000000"/>
          <w:sz w:val="26"/>
          <w:szCs w:val="26"/>
          <w:lang w:val="en-US"/>
        </w:rPr>
        <w:t>"</w:t>
      </w:r>
      <w:r w:rsidR="007807B5">
        <w:rPr>
          <w:rFonts w:ascii="Times New Roman" w:eastAsia="Calibri" w:hAnsi="Times New Roman" w:cs="Times New Roman"/>
          <w:color w:val="000000"/>
          <w:sz w:val="26"/>
          <w:szCs w:val="26"/>
          <w:lang w:val="en"/>
        </w:rPr>
        <w:t>ROSSETI Kuban, JSC</w:t>
      </w:r>
      <w:r w:rsidR="008C0CFC" w:rsidRPr="008C0CFC">
        <w:rPr>
          <w:rFonts w:ascii="Times New Roman" w:eastAsia="Calibri" w:hAnsi="Times New Roman" w:cs="Times New Roman"/>
          <w:color w:val="000000"/>
          <w:sz w:val="26"/>
          <w:szCs w:val="26"/>
          <w:lang w:val="en-US"/>
        </w:rPr>
        <w:t>"</w:t>
      </w:r>
      <w:r>
        <w:rPr>
          <w:rFonts w:ascii="Times New Roman" w:eastAsia="Calibri" w:hAnsi="Times New Roman" w:cs="Times New Roman"/>
          <w:color w:val="000000"/>
          <w:sz w:val="26"/>
          <w:szCs w:val="26"/>
          <w:lang w:val="en"/>
        </w:rPr>
        <w:t xml:space="preserve">) in a manner and in terms stipulated by the agreement of accession of </w:t>
      </w:r>
      <w:r w:rsidR="007807B5">
        <w:rPr>
          <w:rFonts w:ascii="Times New Roman" w:eastAsia="Calibri" w:hAnsi="Times New Roman" w:cs="Times New Roman"/>
          <w:color w:val="000000"/>
          <w:sz w:val="26"/>
          <w:szCs w:val="26"/>
          <w:lang w:val="en"/>
        </w:rPr>
        <w:t>ROSSETI Kuban, JSC</w:t>
      </w:r>
      <w:r>
        <w:rPr>
          <w:rFonts w:ascii="Times New Roman" w:eastAsia="Calibri" w:hAnsi="Times New Roman" w:cs="Times New Roman"/>
          <w:color w:val="000000"/>
          <w:sz w:val="26"/>
          <w:szCs w:val="26"/>
          <w:lang w:val="en"/>
        </w:rPr>
        <w:t xml:space="preserve"> to </w:t>
      </w:r>
      <w:r w:rsidR="00B60BB3">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(hereinafter </w:t>
      </w:r>
      <w:r w:rsidR="008C0CFC" w:rsidRPr="008C0CFC">
        <w:rPr>
          <w:rFonts w:ascii="Times New Roman" w:eastAsia="Calibri" w:hAnsi="Times New Roman" w:cs="Times New Roman"/>
          <w:color w:val="000000"/>
          <w:sz w:val="26"/>
          <w:szCs w:val="26"/>
          <w:lang w:val="en-US"/>
        </w:rPr>
        <w:t>"</w:t>
      </w:r>
      <w:r>
        <w:rPr>
          <w:rFonts w:ascii="Times New Roman" w:eastAsia="Calibri" w:hAnsi="Times New Roman" w:cs="Times New Roman"/>
          <w:color w:val="000000"/>
          <w:sz w:val="26"/>
          <w:szCs w:val="26"/>
          <w:lang w:val="en"/>
        </w:rPr>
        <w:t>Agreement of accession</w:t>
      </w:r>
      <w:r w:rsidR="008C0CFC" w:rsidRPr="008C0CFC">
        <w:rPr>
          <w:rFonts w:ascii="Times New Roman" w:eastAsia="Calibri" w:hAnsi="Times New Roman" w:cs="Times New Roman"/>
          <w:color w:val="000000"/>
          <w:sz w:val="26"/>
          <w:szCs w:val="26"/>
          <w:lang w:val="en-US"/>
        </w:rPr>
        <w:t>"</w:t>
      </w:r>
      <w:r>
        <w:rPr>
          <w:rFonts w:ascii="Times New Roman" w:eastAsia="Calibri" w:hAnsi="Times New Roman" w:cs="Times New Roman"/>
          <w:color w:val="000000"/>
          <w:sz w:val="26"/>
          <w:szCs w:val="26"/>
          <w:lang w:val="en"/>
        </w:rPr>
        <w:t>) approved by this decision.</w:t>
      </w:r>
    </w:p>
    <w:p w14:paraId="4705BF73" w14:textId="77777777" w:rsidR="00567F6D" w:rsidRPr="006B0536"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2. Approve the Agreement of accession according to Appendix 1 to this decision.</w:t>
      </w:r>
    </w:p>
    <w:p w14:paraId="56368D44" w14:textId="20DBB2D0" w:rsidR="00567F6D" w:rsidRPr="008C0CFC" w:rsidRDefault="00000000" w:rsidP="00050CD7">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3. Specify that </w:t>
      </w:r>
      <w:r w:rsidR="00B60BB3">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within 3 (three) working days from the date of decision on reorganization, as the last one of reorganized companies, notifies in writing the authorized state body of state registration of legal entities about the beginning of the reorganization procedure and, after making the entry for the beginning of the reorganization procedure into the Unified State Register of Legal Entities, two times at monthly intervals publishes on behalf of all reorganized companies in mass media, in which data on the state registration of legal entities are published, a notice about the reorganization of </w:t>
      </w:r>
      <w:r w:rsidR="00B60BB3">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in the form of merger of </w:t>
      </w:r>
      <w:r w:rsidR="007807B5">
        <w:rPr>
          <w:rFonts w:ascii="Times New Roman" w:eastAsia="Calibri" w:hAnsi="Times New Roman" w:cs="Times New Roman"/>
          <w:color w:val="000000"/>
          <w:sz w:val="26"/>
          <w:szCs w:val="26"/>
          <w:lang w:val="en"/>
        </w:rPr>
        <w:t>ROSSETI Kuban, JSC</w:t>
      </w:r>
      <w:r>
        <w:rPr>
          <w:rFonts w:ascii="Times New Roman" w:eastAsia="Calibri" w:hAnsi="Times New Roman" w:cs="Times New Roman"/>
          <w:color w:val="000000"/>
          <w:sz w:val="26"/>
          <w:szCs w:val="26"/>
          <w:lang w:val="en"/>
        </w:rPr>
        <w:t xml:space="preserve"> into it.</w:t>
      </w:r>
    </w:p>
    <w:sectPr w:rsidR="00567F6D" w:rsidRPr="008C0CFC">
      <w:headerReference w:type="even" r:id="rId7"/>
      <w:headerReference w:type="default" r:id="rId8"/>
      <w:headerReference w:type="first" r:id="rId9"/>
      <w:pgSz w:w="11906" w:h="16838"/>
      <w:pgMar w:top="1418" w:right="850" w:bottom="1134" w:left="1701" w:header="709" w:footer="0"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88D9C" w14:textId="77777777" w:rsidR="00F404B0" w:rsidRDefault="00F404B0">
      <w:pPr>
        <w:spacing w:after="0" w:line="240" w:lineRule="auto"/>
      </w:pPr>
      <w:r>
        <w:separator/>
      </w:r>
    </w:p>
  </w:endnote>
  <w:endnote w:type="continuationSeparator" w:id="0">
    <w:p w14:paraId="378E5E99" w14:textId="77777777" w:rsidR="00F404B0" w:rsidRDefault="00F40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1969C" w14:textId="77777777" w:rsidR="00F404B0" w:rsidRDefault="00F404B0">
      <w:pPr>
        <w:spacing w:after="0" w:line="240" w:lineRule="auto"/>
      </w:pPr>
      <w:r>
        <w:separator/>
      </w:r>
    </w:p>
  </w:footnote>
  <w:footnote w:type="continuationSeparator" w:id="0">
    <w:p w14:paraId="2DA3DD41" w14:textId="77777777" w:rsidR="00F404B0" w:rsidRDefault="00F404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D2B5D" w14:textId="77777777" w:rsidR="00567F6D" w:rsidRDefault="00567F6D">
    <w:pPr>
      <w:pStyle w:val="ae"/>
      <w:ind w:left="2977"/>
      <w:jc w:val="center"/>
      <w:rPr>
        <w:i/>
      </w:rPr>
    </w:pPr>
  </w:p>
  <w:p w14:paraId="574549C1" w14:textId="77777777" w:rsidR="00567F6D" w:rsidRDefault="00567F6D">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F678C" w14:textId="77777777" w:rsidR="00567F6D" w:rsidRDefault="00567F6D">
    <w:pPr>
      <w:pStyle w:val="ae"/>
      <w:ind w:left="2977"/>
      <w:jc w:val="center"/>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7D4D" w14:textId="658399D3" w:rsidR="00567F6D" w:rsidRPr="006B0536" w:rsidRDefault="00000000">
    <w:pPr>
      <w:pStyle w:val="ae"/>
      <w:ind w:left="2977"/>
      <w:jc w:val="center"/>
      <w:rPr>
        <w:i/>
        <w:lang w:val="en-US"/>
      </w:rPr>
    </w:pPr>
    <w:r>
      <w:rPr>
        <w:i/>
        <w:lang w:val="en"/>
      </w:rPr>
      <w:t xml:space="preserve">Public Joint-Stock Company </w:t>
    </w:r>
    <w:r w:rsidR="006B0536" w:rsidRPr="006B0536">
      <w:rPr>
        <w:i/>
        <w:lang w:val="en-US"/>
      </w:rPr>
      <w:t>"</w:t>
    </w:r>
    <w:r>
      <w:rPr>
        <w:i/>
        <w:lang w:val="en"/>
      </w:rPr>
      <w:t>ROSSETI South</w:t>
    </w:r>
    <w:r w:rsidR="006B0536" w:rsidRPr="006B0536">
      <w:rPr>
        <w:i/>
        <w:lang w:val="en-US"/>
      </w:rPr>
      <w:t>"</w:t>
    </w:r>
  </w:p>
  <w:p w14:paraId="599FA3AD" w14:textId="77777777" w:rsidR="00567F6D" w:rsidRPr="006B0536" w:rsidRDefault="00567F6D">
    <w:pPr>
      <w:pStyle w:val="a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0"/>
  <w:evenAndOddHeader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F6D"/>
    <w:rsid w:val="000412D3"/>
    <w:rsid w:val="00050CD7"/>
    <w:rsid w:val="0034326D"/>
    <w:rsid w:val="00486429"/>
    <w:rsid w:val="00567F6D"/>
    <w:rsid w:val="006B0536"/>
    <w:rsid w:val="007807B5"/>
    <w:rsid w:val="008C0CFC"/>
    <w:rsid w:val="00B60BB3"/>
    <w:rsid w:val="00CB3397"/>
    <w:rsid w:val="00F40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456EE"/>
  <w15:docId w15:val="{C037AC69-83C8-443A-AA0F-D6DC089DC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paragraph" w:styleId="1">
    <w:name w:val="heading 1"/>
    <w:basedOn w:val="a"/>
    <w:uiPriority w:val="9"/>
    <w:qFormat/>
    <w:pPr>
      <w:keepNext/>
      <w:keepLines/>
      <w:spacing w:before="480"/>
      <w:outlineLvl w:val="0"/>
    </w:pPr>
    <w:rPr>
      <w:rFonts w:ascii="Arial" w:eastAsia="Arial" w:hAnsi="Arial" w:cs="Arial"/>
      <w:sz w:val="40"/>
      <w:szCs w:val="40"/>
    </w:rPr>
  </w:style>
  <w:style w:type="paragraph" w:styleId="2">
    <w:name w:val="heading 2"/>
    <w:basedOn w:val="a"/>
    <w:uiPriority w:val="9"/>
    <w:unhideWhenUsed/>
    <w:qFormat/>
    <w:pPr>
      <w:keepNext/>
      <w:keepLines/>
      <w:spacing w:before="360"/>
      <w:outlineLvl w:val="1"/>
    </w:pPr>
    <w:rPr>
      <w:rFonts w:ascii="Arial" w:eastAsia="Arial" w:hAnsi="Arial" w:cs="Arial"/>
      <w:sz w:val="34"/>
    </w:rPr>
  </w:style>
  <w:style w:type="paragraph" w:styleId="3">
    <w:name w:val="heading 3"/>
    <w:basedOn w:val="a"/>
    <w:uiPriority w:val="9"/>
    <w:unhideWhenUsed/>
    <w:qFormat/>
    <w:pPr>
      <w:keepNext/>
      <w:keepLines/>
      <w:spacing w:before="320"/>
      <w:outlineLvl w:val="2"/>
    </w:pPr>
    <w:rPr>
      <w:rFonts w:ascii="Arial" w:eastAsia="Arial" w:hAnsi="Arial" w:cs="Arial"/>
      <w:sz w:val="30"/>
      <w:szCs w:val="30"/>
    </w:rPr>
  </w:style>
  <w:style w:type="paragraph" w:styleId="4">
    <w:name w:val="heading 4"/>
    <w:basedOn w:val="a"/>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uiPriority w:val="9"/>
    <w:unhideWhenUsed/>
    <w:qFormat/>
    <w:pPr>
      <w:keepNext/>
      <w:keepLines/>
      <w:spacing w:before="320"/>
      <w:outlineLvl w:val="5"/>
    </w:pPr>
    <w:rPr>
      <w:rFonts w:ascii="Arial" w:eastAsia="Arial" w:hAnsi="Arial" w:cs="Arial"/>
      <w:b/>
      <w:bCs/>
    </w:rPr>
  </w:style>
  <w:style w:type="paragraph" w:styleId="7">
    <w:name w:val="heading 7"/>
    <w:basedOn w:val="a"/>
    <w:uiPriority w:val="9"/>
    <w:unhideWhenUsed/>
    <w:qFormat/>
    <w:pPr>
      <w:keepNext/>
      <w:keepLines/>
      <w:spacing w:before="320"/>
      <w:outlineLvl w:val="6"/>
    </w:pPr>
    <w:rPr>
      <w:rFonts w:ascii="Arial" w:eastAsia="Arial" w:hAnsi="Arial" w:cs="Arial"/>
      <w:b/>
      <w:bCs/>
      <w:i/>
      <w:iCs/>
    </w:rPr>
  </w:style>
  <w:style w:type="paragraph" w:styleId="8">
    <w:name w:val="heading 8"/>
    <w:basedOn w:val="a"/>
    <w:uiPriority w:val="9"/>
    <w:unhideWhenUsed/>
    <w:qFormat/>
    <w:pPr>
      <w:keepNext/>
      <w:keepLines/>
      <w:spacing w:before="320"/>
      <w:outlineLvl w:val="7"/>
    </w:pPr>
    <w:rPr>
      <w:rFonts w:ascii="Arial" w:eastAsia="Arial" w:hAnsi="Arial" w:cs="Arial"/>
      <w:i/>
      <w:iCs/>
    </w:rPr>
  </w:style>
  <w:style w:type="paragraph" w:styleId="9">
    <w:name w:val="heading 9"/>
    <w:basedOn w:val="a"/>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qFormat/>
    <w:rPr>
      <w:rFonts w:ascii="Arial" w:eastAsia="Arial" w:hAnsi="Arial" w:cs="Arial"/>
      <w:sz w:val="40"/>
      <w:szCs w:val="40"/>
    </w:rPr>
  </w:style>
  <w:style w:type="character" w:customStyle="1" w:styleId="Heading2Char">
    <w:name w:val="Heading 2 Char"/>
    <w:uiPriority w:val="9"/>
    <w:qFormat/>
    <w:rPr>
      <w:rFonts w:ascii="Arial" w:eastAsia="Arial" w:hAnsi="Arial" w:cs="Arial"/>
      <w:sz w:val="34"/>
    </w:rPr>
  </w:style>
  <w:style w:type="character" w:customStyle="1" w:styleId="Heading3Char">
    <w:name w:val="Heading 3 Char"/>
    <w:uiPriority w:val="9"/>
    <w:qFormat/>
    <w:rPr>
      <w:rFonts w:ascii="Arial" w:eastAsia="Arial" w:hAnsi="Arial" w:cs="Arial"/>
      <w:sz w:val="30"/>
      <w:szCs w:val="30"/>
    </w:rPr>
  </w:style>
  <w:style w:type="character" w:customStyle="1" w:styleId="Heading4Char">
    <w:name w:val="Heading 4 Char"/>
    <w:uiPriority w:val="9"/>
    <w:qFormat/>
    <w:rPr>
      <w:rFonts w:ascii="Arial" w:eastAsia="Arial" w:hAnsi="Arial" w:cs="Arial"/>
      <w:b/>
      <w:bCs/>
      <w:sz w:val="26"/>
      <w:szCs w:val="26"/>
    </w:rPr>
  </w:style>
  <w:style w:type="character" w:customStyle="1" w:styleId="Heading5Char">
    <w:name w:val="Heading 5 Char"/>
    <w:uiPriority w:val="9"/>
    <w:qFormat/>
    <w:rPr>
      <w:rFonts w:ascii="Arial" w:eastAsia="Arial" w:hAnsi="Arial" w:cs="Arial"/>
      <w:b/>
      <w:bCs/>
      <w:sz w:val="24"/>
      <w:szCs w:val="24"/>
    </w:rPr>
  </w:style>
  <w:style w:type="character" w:customStyle="1" w:styleId="Heading6Char">
    <w:name w:val="Heading 6 Char"/>
    <w:uiPriority w:val="9"/>
    <w:qFormat/>
    <w:rPr>
      <w:rFonts w:ascii="Arial" w:eastAsia="Arial" w:hAnsi="Arial" w:cs="Arial"/>
      <w:b/>
      <w:bCs/>
      <w:sz w:val="22"/>
      <w:szCs w:val="22"/>
    </w:rPr>
  </w:style>
  <w:style w:type="character" w:customStyle="1" w:styleId="Heading7Char">
    <w:name w:val="Heading 7 Char"/>
    <w:uiPriority w:val="9"/>
    <w:qFormat/>
    <w:rPr>
      <w:rFonts w:ascii="Arial" w:eastAsia="Arial" w:hAnsi="Arial" w:cs="Arial"/>
      <w:b/>
      <w:bCs/>
      <w:i/>
      <w:iCs/>
      <w:sz w:val="22"/>
      <w:szCs w:val="22"/>
    </w:rPr>
  </w:style>
  <w:style w:type="character" w:customStyle="1" w:styleId="Heading8Char">
    <w:name w:val="Heading 8 Char"/>
    <w:uiPriority w:val="9"/>
    <w:qFormat/>
    <w:rPr>
      <w:rFonts w:ascii="Arial" w:eastAsia="Arial" w:hAnsi="Arial" w:cs="Arial"/>
      <w:i/>
      <w:iCs/>
      <w:sz w:val="22"/>
      <w:szCs w:val="22"/>
    </w:rPr>
  </w:style>
  <w:style w:type="character" w:customStyle="1" w:styleId="Heading9Char">
    <w:name w:val="Heading 9 Char"/>
    <w:uiPriority w:val="9"/>
    <w:qFormat/>
    <w:rPr>
      <w:rFonts w:ascii="Arial" w:eastAsia="Arial" w:hAnsi="Arial" w:cs="Arial"/>
      <w:i/>
      <w:iCs/>
      <w:sz w:val="21"/>
      <w:szCs w:val="21"/>
    </w:rPr>
  </w:style>
  <w:style w:type="character" w:customStyle="1" w:styleId="TitleChar">
    <w:name w:val="Title Char"/>
    <w:uiPriority w:val="10"/>
    <w:qFormat/>
    <w:rPr>
      <w:sz w:val="48"/>
      <w:szCs w:val="48"/>
    </w:rPr>
  </w:style>
  <w:style w:type="character" w:customStyle="1" w:styleId="SubtitleChar">
    <w:name w:val="Subtitle Char"/>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uiPriority w:val="99"/>
    <w:qFormat/>
  </w:style>
  <w:style w:type="character" w:customStyle="1" w:styleId="FooterChar">
    <w:name w:val="Footer Char"/>
    <w:uiPriority w:val="99"/>
    <w:qFormat/>
  </w:style>
  <w:style w:type="character" w:customStyle="1" w:styleId="CaptionChar">
    <w:name w:val="Caption Char"/>
    <w:uiPriority w:val="99"/>
    <w:qFormat/>
  </w:style>
  <w:style w:type="character" w:styleId="a3">
    <w:name w:val="Hyperlink"/>
    <w:uiPriority w:val="99"/>
    <w:unhideWhenUsed/>
    <w:rPr>
      <w:color w:val="0563C1" w:themeColor="hyperlink"/>
      <w:u w:val="single"/>
    </w:rPr>
  </w:style>
  <w:style w:type="character" w:customStyle="1" w:styleId="FootnoteTextChar">
    <w:name w:val="Footnote Text Char"/>
    <w:uiPriority w:val="99"/>
    <w:qFormat/>
    <w:rPr>
      <w:sz w:val="18"/>
    </w:rPr>
  </w:style>
  <w:style w:type="character" w:customStyle="1" w:styleId="a4">
    <w:name w:val="Символ сноски"/>
    <w:uiPriority w:val="99"/>
    <w:unhideWhenUsed/>
    <w:qFormat/>
    <w:rPr>
      <w:vertAlign w:val="superscript"/>
    </w:rPr>
  </w:style>
  <w:style w:type="character" w:styleId="a5">
    <w:name w:val="footnote reference"/>
    <w:rPr>
      <w:vertAlign w:val="superscript"/>
    </w:rPr>
  </w:style>
  <w:style w:type="character" w:customStyle="1" w:styleId="EndnoteTextChar">
    <w:name w:val="Endnote Text Char"/>
    <w:uiPriority w:val="99"/>
    <w:qFormat/>
    <w:rPr>
      <w:sz w:val="20"/>
    </w:rPr>
  </w:style>
  <w:style w:type="character" w:customStyle="1" w:styleId="a6">
    <w:name w:val="Символ концевой сноски"/>
    <w:uiPriority w:val="99"/>
    <w:semiHidden/>
    <w:unhideWhenUsed/>
    <w:qFormat/>
    <w:rPr>
      <w:vertAlign w:val="superscript"/>
    </w:rPr>
  </w:style>
  <w:style w:type="character" w:styleId="a7">
    <w:name w:val="endnote reference"/>
    <w:rPr>
      <w:vertAlign w:val="superscript"/>
    </w:rPr>
  </w:style>
  <w:style w:type="paragraph" w:customStyle="1" w:styleId="10">
    <w:name w:val="Заголовок1"/>
    <w:basedOn w:val="a"/>
    <w:next w:val="a8"/>
    <w:qFormat/>
    <w:pPr>
      <w:keepNext/>
      <w:spacing w:before="240" w:after="120"/>
    </w:pPr>
    <w:rPr>
      <w:rFonts w:ascii="Liberation Sans" w:eastAsia="Tahoma" w:hAnsi="Liberation Sans" w:cs="Noto Sans"/>
      <w:sz w:val="28"/>
      <w:szCs w:val="28"/>
    </w:rPr>
  </w:style>
  <w:style w:type="paragraph" w:styleId="a8">
    <w:name w:val="Body Text"/>
    <w:basedOn w:val="a"/>
    <w:pPr>
      <w:spacing w:after="140"/>
    </w:pPr>
  </w:style>
  <w:style w:type="paragraph" w:styleId="a9">
    <w:name w:val="List"/>
    <w:basedOn w:val="a8"/>
    <w:rPr>
      <w:rFonts w:cs="Noto Sans"/>
    </w:rPr>
  </w:style>
  <w:style w:type="paragraph" w:styleId="aa">
    <w:name w:val="caption"/>
    <w:basedOn w:val="a"/>
    <w:uiPriority w:val="35"/>
    <w:semiHidden/>
    <w:unhideWhenUsed/>
    <w:qFormat/>
    <w:rPr>
      <w:b/>
      <w:bCs/>
      <w:color w:val="5B9BD5" w:themeColor="accent1"/>
      <w:sz w:val="18"/>
      <w:szCs w:val="18"/>
    </w:rPr>
  </w:style>
  <w:style w:type="paragraph" w:customStyle="1" w:styleId="11">
    <w:name w:val="Указатель1"/>
    <w:basedOn w:val="a"/>
    <w:qFormat/>
    <w:pPr>
      <w:suppressLineNumbers/>
    </w:pPr>
    <w:rPr>
      <w:rFonts w:cs="Noto Sans"/>
    </w:rPr>
  </w:style>
  <w:style w:type="paragraph" w:styleId="ab">
    <w:name w:val="Title"/>
    <w:basedOn w:val="a"/>
    <w:uiPriority w:val="10"/>
    <w:qFormat/>
    <w:pPr>
      <w:spacing w:before="300"/>
      <w:contextualSpacing/>
    </w:pPr>
    <w:rPr>
      <w:sz w:val="48"/>
      <w:szCs w:val="48"/>
    </w:rPr>
  </w:style>
  <w:style w:type="paragraph" w:styleId="ac">
    <w:name w:val="Subtitle"/>
    <w:basedOn w:val="a"/>
    <w:uiPriority w:val="11"/>
    <w:qFormat/>
    <w:pPr>
      <w:spacing w:before="200"/>
    </w:pPr>
    <w:rPr>
      <w:sz w:val="24"/>
      <w:szCs w:val="24"/>
    </w:rPr>
  </w:style>
  <w:style w:type="paragraph" w:styleId="20">
    <w:name w:val="Quote"/>
    <w:basedOn w:val="a"/>
    <w:uiPriority w:val="29"/>
    <w:qFormat/>
    <w:pPr>
      <w:ind w:left="720" w:right="720"/>
    </w:pPr>
    <w:rPr>
      <w:i/>
    </w:rPr>
  </w:style>
  <w:style w:type="paragraph" w:styleId="ad">
    <w:name w:val="Intense Quote"/>
    <w:basedOn w:val="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HeaderandFooter">
    <w:name w:val="Header and Footer"/>
    <w:basedOn w:val="a"/>
    <w:qFormat/>
  </w:style>
  <w:style w:type="paragraph" w:styleId="ae">
    <w:name w:val="header"/>
    <w:basedOn w:val="a"/>
    <w:uiPriority w:val="99"/>
    <w:unhideWhenUsed/>
    <w:pPr>
      <w:tabs>
        <w:tab w:val="center" w:pos="7143"/>
        <w:tab w:val="right" w:pos="14287"/>
      </w:tabs>
      <w:spacing w:after="0" w:line="240" w:lineRule="auto"/>
    </w:pPr>
  </w:style>
  <w:style w:type="paragraph" w:styleId="af">
    <w:name w:val="footer"/>
    <w:basedOn w:val="a"/>
    <w:uiPriority w:val="99"/>
    <w:unhideWhenUsed/>
    <w:pPr>
      <w:tabs>
        <w:tab w:val="center" w:pos="7143"/>
        <w:tab w:val="right" w:pos="14287"/>
      </w:tabs>
      <w:spacing w:after="0" w:line="240" w:lineRule="auto"/>
    </w:pPr>
  </w:style>
  <w:style w:type="paragraph" w:styleId="af0">
    <w:name w:val="footnote text"/>
    <w:basedOn w:val="a"/>
    <w:uiPriority w:val="99"/>
    <w:semiHidden/>
    <w:unhideWhenUsed/>
    <w:pPr>
      <w:spacing w:after="40" w:line="240" w:lineRule="auto"/>
    </w:pPr>
    <w:rPr>
      <w:sz w:val="18"/>
    </w:rPr>
  </w:style>
  <w:style w:type="paragraph" w:styleId="af1">
    <w:name w:val="endnote text"/>
    <w:basedOn w:val="a"/>
    <w:uiPriority w:val="99"/>
    <w:semiHidden/>
    <w:unhideWhenUsed/>
    <w:pPr>
      <w:spacing w:after="0" w:line="240" w:lineRule="auto"/>
    </w:pPr>
    <w:rPr>
      <w:sz w:val="20"/>
    </w:rPr>
  </w:style>
  <w:style w:type="paragraph" w:styleId="12">
    <w:name w:val="toc 1"/>
    <w:basedOn w:val="a"/>
    <w:uiPriority w:val="39"/>
    <w:unhideWhenUsed/>
    <w:pPr>
      <w:spacing w:after="57"/>
    </w:pPr>
  </w:style>
  <w:style w:type="paragraph" w:styleId="21">
    <w:name w:val="toc 2"/>
    <w:basedOn w:val="a"/>
    <w:uiPriority w:val="39"/>
    <w:unhideWhenUsed/>
    <w:pPr>
      <w:spacing w:after="57"/>
      <w:ind w:left="283"/>
    </w:pPr>
  </w:style>
  <w:style w:type="paragraph" w:styleId="30">
    <w:name w:val="toc 3"/>
    <w:basedOn w:val="a"/>
    <w:uiPriority w:val="39"/>
    <w:unhideWhenUsed/>
    <w:pPr>
      <w:spacing w:after="57"/>
      <w:ind w:left="567"/>
    </w:pPr>
  </w:style>
  <w:style w:type="paragraph" w:styleId="40">
    <w:name w:val="toc 4"/>
    <w:basedOn w:val="a"/>
    <w:uiPriority w:val="39"/>
    <w:unhideWhenUsed/>
    <w:pPr>
      <w:spacing w:after="57"/>
      <w:ind w:left="850"/>
    </w:pPr>
  </w:style>
  <w:style w:type="paragraph" w:styleId="50">
    <w:name w:val="toc 5"/>
    <w:basedOn w:val="a"/>
    <w:uiPriority w:val="39"/>
    <w:unhideWhenUsed/>
    <w:pPr>
      <w:spacing w:after="57"/>
      <w:ind w:left="1134"/>
    </w:pPr>
  </w:style>
  <w:style w:type="paragraph" w:styleId="60">
    <w:name w:val="toc 6"/>
    <w:basedOn w:val="a"/>
    <w:uiPriority w:val="39"/>
    <w:unhideWhenUsed/>
    <w:pPr>
      <w:spacing w:after="57"/>
      <w:ind w:left="1417"/>
    </w:pPr>
  </w:style>
  <w:style w:type="paragraph" w:styleId="70">
    <w:name w:val="toc 7"/>
    <w:basedOn w:val="a"/>
    <w:uiPriority w:val="39"/>
    <w:unhideWhenUsed/>
    <w:pPr>
      <w:spacing w:after="57"/>
      <w:ind w:left="1701"/>
    </w:pPr>
  </w:style>
  <w:style w:type="paragraph" w:styleId="80">
    <w:name w:val="toc 8"/>
    <w:basedOn w:val="a"/>
    <w:uiPriority w:val="39"/>
    <w:unhideWhenUsed/>
    <w:pPr>
      <w:spacing w:after="57"/>
      <w:ind w:left="1984"/>
    </w:pPr>
  </w:style>
  <w:style w:type="paragraph" w:styleId="90">
    <w:name w:val="toc 9"/>
    <w:basedOn w:val="a"/>
    <w:uiPriority w:val="39"/>
    <w:unhideWhenUsed/>
    <w:pPr>
      <w:spacing w:after="57"/>
      <w:ind w:left="2268"/>
    </w:pPr>
  </w:style>
  <w:style w:type="paragraph" w:styleId="af2">
    <w:name w:val="index heading"/>
    <w:basedOn w:val="10"/>
  </w:style>
  <w:style w:type="paragraph" w:styleId="af3">
    <w:name w:val="TOC Heading"/>
    <w:uiPriority w:val="39"/>
    <w:unhideWhenUsed/>
    <w:qFormat/>
    <w:pPr>
      <w:spacing w:after="200" w:line="276" w:lineRule="auto"/>
    </w:pPr>
  </w:style>
  <w:style w:type="paragraph" w:styleId="af4">
    <w:name w:val="table of figures"/>
    <w:basedOn w:val="a"/>
    <w:uiPriority w:val="99"/>
    <w:unhideWhenUsed/>
    <w:pPr>
      <w:spacing w:after="0"/>
    </w:pPr>
  </w:style>
  <w:style w:type="paragraph" w:styleId="af5">
    <w:name w:val="No Spacing"/>
    <w:basedOn w:val="a"/>
    <w:uiPriority w:val="1"/>
    <w:qFormat/>
    <w:pPr>
      <w:spacing w:after="0" w:line="240" w:lineRule="auto"/>
    </w:pPr>
  </w:style>
  <w:style w:type="paragraph" w:styleId="af6">
    <w:name w:val="List Paragraph"/>
    <w:basedOn w:val="a"/>
    <w:uiPriority w:val="34"/>
    <w:qFormat/>
    <w:pPr>
      <w:ind w:left="720"/>
      <w:contextualSpacing/>
    </w:pPr>
  </w:style>
  <w:style w:type="numbering" w:customStyle="1" w:styleId="af7">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New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6350" cap="flat" cmpd="sng" algn="ctr"/>
        <a:ln w="12700" cap="flat" cmpd="sng" algn="ctr"/>
        <a:ln w="19050" cap="flat" cmpd="sng" algn="ctr"/>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a:path>
          <a:tileRect/>
        </a:gradFill>
        <a:gradFill>
          <a:gsLst>
            <a:gs pos="0">
              <a:schemeClr val="phClr">
                <a:tint val="80000"/>
              </a:schemeClr>
            </a:gs>
            <a:gs pos="100000">
              <a:schemeClr val="phClr">
                <a:shade val="30000"/>
              </a:schemeClr>
            </a:gs>
          </a:gsLst>
          <a:path path="circle">
            <a:fillToRect/>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1316</Words>
  <Characters>7507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Wen Lee</cp:lastModifiedBy>
  <cp:revision>6</cp:revision>
  <dcterms:created xsi:type="dcterms:W3CDTF">2025-05-12T14:53:00Z</dcterms:created>
  <dcterms:modified xsi:type="dcterms:W3CDTF">2025-05-13T11:30:00Z</dcterms:modified>
  <dc:language>ru-RU</dc:language>
</cp:coreProperties>
</file>